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34"/>
        <w:pBdr/>
        <w:spacing/>
        <w:ind/>
        <w:jc w:val="center"/>
        <w:rPr>
          <w:sz w:val="22"/>
        </w:rPr>
      </w:pPr>
      <w:r>
        <w:rPr>
          <w:sz w:val="22"/>
        </w:rPr>
        <w:t xml:space="preserve">ДОГОВОР № _____ </w:t>
      </w:r>
      <w:r>
        <w:rPr>
          <w:sz w:val="22"/>
        </w:rPr>
      </w:r>
    </w:p>
    <w:p>
      <w:pPr>
        <w:pStyle w:val="834"/>
        <w:pBdr/>
        <w:spacing/>
        <w:ind/>
        <w:jc w:val="center"/>
        <w:rPr>
          <w:sz w:val="22"/>
        </w:rPr>
      </w:pPr>
      <w:r>
        <w:rPr>
          <w:sz w:val="22"/>
        </w:rPr>
        <w:t xml:space="preserve">о безвозмездном предоставлении эфирного времени для проведения предвыборной агитации</w:t>
      </w:r>
      <w:r>
        <w:rPr>
          <w:sz w:val="22"/>
        </w:rPr>
      </w:r>
    </w:p>
    <w:p>
      <w:pPr>
        <w:pStyle w:val="834"/>
        <w:pBdr/>
        <w:spacing/>
        <w:ind/>
        <w:jc w:val="center"/>
        <w:rPr>
          <w:sz w:val="22"/>
        </w:rPr>
      </w:pPr>
      <w:r>
        <w:rPr>
          <w:sz w:val="22"/>
        </w:rPr>
      </w:r>
      <w:r>
        <w:rPr>
          <w:sz w:val="22"/>
        </w:rPr>
      </w:r>
    </w:p>
    <w:tbl>
      <w:tblPr>
        <w:tblStyle w:val="83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>
        <w:trPr/>
        <w:tc>
          <w:tcPr>
            <w:tcBorders/>
            <w:tcW w:w="4927" w:type="dxa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город Белгород</w:t>
            </w:r>
            <w:r>
              <w:rPr>
                <w:sz w:val="22"/>
              </w:rPr>
            </w:r>
          </w:p>
        </w:tc>
        <w:tc>
          <w:tcPr>
            <w:tcBorders/>
            <w:tcW w:w="4927" w:type="dxa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___/___/ 2024</w:t>
            </w:r>
            <w:r>
              <w:rPr>
                <w:sz w:val="22"/>
              </w:rPr>
            </w:r>
          </w:p>
        </w:tc>
      </w:tr>
    </w:tbl>
    <w:p>
      <w:pPr>
        <w:pStyle w:val="834"/>
        <w:pBdr/>
        <w:spacing/>
        <w:ind/>
        <w:rPr>
          <w:sz w:val="22"/>
          <w:szCs w:val="22"/>
        </w:rPr>
      </w:pPr>
      <w:r>
        <w:rPr>
          <w:sz w:val="22"/>
        </w:rPr>
      </w:r>
      <w:r>
        <w:rPr>
          <w:sz w:val="22"/>
        </w:rPr>
      </w:r>
    </w:p>
    <w:tbl>
      <w:tblPr>
        <w:tblStyle w:val="836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1809"/>
        <w:gridCol w:w="8045"/>
      </w:tblGrid>
      <w:tr>
        <w:trPr/>
        <w:tc>
          <w:tcPr>
            <w:tcBorders/>
            <w:tcW w:w="1809" w:type="dxa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Исполнитель: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8045" w:type="dxa"/>
            <w:textDirection w:val="lrTb"/>
            <w:noWrap w:val="false"/>
          </w:tcPr>
          <w:p>
            <w:pPr>
              <w:pStyle w:val="834"/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Областное автономное учреждение «Телерадиовещательная компания «Мир Белогорья»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/>
            <w:tcW w:w="1809" w:type="dxa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Заказчик: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8045" w:type="dxa"/>
            <w:textDirection w:val="lrTb"/>
            <w:noWrap w:val="false"/>
          </w:tcPr>
          <w:p>
            <w:pPr>
              <w:pStyle w:val="834"/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834"/>
        <w:pBdr/>
        <w:spacing/>
        <w:ind/>
        <w:rPr>
          <w:sz w:val="22"/>
          <w:szCs w:val="22"/>
        </w:rPr>
      </w:pPr>
      <w:r>
        <w:rPr>
          <w:sz w:val="22"/>
        </w:rPr>
      </w:r>
      <w:r>
        <w:rPr>
          <w:sz w:val="22"/>
        </w:rPr>
        <w:t xml:space="preserve">Стороны заключили настоящий Договор о нижеследующем:</w:t>
      </w:r>
      <w:r>
        <w:rPr>
          <w:sz w:val="22"/>
        </w:rPr>
      </w:r>
      <w:r>
        <w:rPr>
          <w:sz w:val="22"/>
          <w:szCs w:val="22"/>
        </w:rPr>
      </w:r>
    </w:p>
    <w:p>
      <w:pPr>
        <w:pStyle w:val="834"/>
        <w:pBdr/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В соответствии с настоящим Договором Исполните</w:t>
      </w:r>
      <w:r>
        <w:rPr>
          <w:sz w:val="22"/>
          <w:szCs w:val="22"/>
        </w:rPr>
        <w:t xml:space="preserve">ль в статусе </w:t>
      </w:r>
      <w:r>
        <w:rPr>
          <w:sz w:val="22"/>
        </w:rPr>
        <w:t xml:space="preserve">региональной государственной организации телерадиовещания </w:t>
      </w:r>
      <w:r>
        <w:rPr>
          <w:sz w:val="22"/>
          <w:szCs w:val="22"/>
        </w:rPr>
        <w:t xml:space="preserve">обязуется</w:t>
      </w:r>
      <w:r>
        <w:rPr>
          <w:sz w:val="22"/>
          <w:szCs w:val="22"/>
        </w:rPr>
        <w:t xml:space="preserve"> в установленном порядке</w:t>
      </w:r>
      <w:r>
        <w:rPr>
          <w:sz w:val="22"/>
          <w:szCs w:val="22"/>
        </w:rPr>
        <w:t xml:space="preserve"> безвозмездно предоставить Заказчику бесплатное эфирное время для проведения предвыборной агитации на телеканале «Мир Белогорья» и радиоканале «Мир Белогорья». </w:t>
      </w:r>
      <w:r>
        <w:rPr>
          <w:sz w:val="22"/>
        </w:rPr>
      </w:r>
      <w:r>
        <w:rPr>
          <w:sz w:val="22"/>
          <w:szCs w:val="22"/>
        </w:rPr>
      </w:r>
    </w:p>
    <w:p>
      <w:pPr>
        <w:pStyle w:val="834"/>
        <w:pBdr/>
        <w:spacing/>
        <w:ind/>
        <w:jc w:val="both"/>
        <w:rPr>
          <w:sz w:val="22"/>
          <w:szCs w:val="22"/>
          <w14:ligatures w14:val="none"/>
        </w:rPr>
      </w:pPr>
      <w:r>
        <w:rPr>
          <w:sz w:val="22"/>
          <w:szCs w:val="22"/>
        </w:rPr>
        <w:t xml:space="preserve">2. Настоящи</w:t>
      </w:r>
      <w:r>
        <w:rPr>
          <w:sz w:val="22"/>
          <w:szCs w:val="22"/>
        </w:rPr>
        <w:t xml:space="preserve">й Договор </w:t>
      </w:r>
      <w:r>
        <w:rPr>
          <w:sz w:val="22"/>
          <w:szCs w:val="22"/>
        </w:rPr>
        <w:t xml:space="preserve">за</w:t>
      </w:r>
      <w:r>
        <w:rPr>
          <w:sz w:val="22"/>
          <w:szCs w:val="22"/>
        </w:rPr>
        <w:t xml:space="preserve">к</w:t>
      </w:r>
      <w:r>
        <w:rPr>
          <w:sz w:val="22"/>
          <w:szCs w:val="22"/>
        </w:rPr>
        <w:t xml:space="preserve">лючен</w:t>
      </w:r>
      <w:r>
        <w:rPr>
          <w:sz w:val="22"/>
          <w:szCs w:val="22"/>
        </w:rPr>
        <w:t xml:space="preserve"> в соответствии с требованиями </w:t>
      </w:r>
      <w:r>
        <w:rPr>
          <w:sz w:val="22"/>
          <w:szCs w:val="22"/>
        </w:rPr>
        <w:t xml:space="preserve">Федерального закона </w:t>
      </w:r>
      <w:r>
        <w:rPr>
          <w:sz w:val="22"/>
          <w:szCs w:val="22"/>
        </w:rPr>
        <w:t xml:space="preserve">от 10.01.2003 № 19-ФЗ «</w:t>
      </w:r>
      <w:r>
        <w:rPr>
          <w:sz w:val="22"/>
          <w:szCs w:val="22"/>
        </w:rPr>
        <w:t xml:space="preserve">О выборах Президента Российской Федерации»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  <w14:ligatures w14:val="none"/>
        </w:rPr>
      </w:r>
    </w:p>
    <w:p>
      <w:pPr>
        <w:pStyle w:val="834"/>
        <w:pBdr/>
        <w:spacing/>
        <w:ind/>
        <w:jc w:val="both"/>
        <w:rPr>
          <w:b/>
          <w:bCs/>
          <w:sz w:val="22"/>
          <w:szCs w:val="22"/>
          <w14:ligatures w14:val="none"/>
        </w:rPr>
      </w:pPr>
      <w:r>
        <w:rPr>
          <w:sz w:val="22"/>
          <w:szCs w:val="22"/>
        </w:rPr>
        <w:t xml:space="preserve">3.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У</w:t>
      </w:r>
      <w:r>
        <w:rPr>
          <w:sz w:val="22"/>
          <w:szCs w:val="22"/>
        </w:rPr>
        <w:t xml:space="preserve">слови</w:t>
      </w:r>
      <w:r>
        <w:rPr>
          <w:sz w:val="22"/>
          <w:szCs w:val="22"/>
        </w:rPr>
        <w:t xml:space="preserve">я по предоставлению Заказчику бесплатного эфирного времени для проведения предвыборной агитации установлены в являющемся неотъемлемой частью настоящего Договора «Порядке </w:t>
      </w:r>
      <w:r>
        <w:rPr>
          <w:sz w:val="22"/>
          <w:szCs w:val="22"/>
        </w:rPr>
        <w:t xml:space="preserve">предоставлени</w:t>
      </w:r>
      <w:r>
        <w:rPr>
          <w:sz w:val="22"/>
          <w:szCs w:val="22"/>
        </w:rPr>
        <w:t xml:space="preserve">я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бесплатного эфирного времени для </w:t>
      </w:r>
      <w:r>
        <w:rPr>
          <w:sz w:val="22"/>
          <w:szCs w:val="22"/>
        </w:rPr>
        <w:t xml:space="preserve">предвыборной агитации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eastAsia="ru-RU"/>
        </w:rPr>
        <w:t xml:space="preserve">при проведении </w:t>
      </w:r>
      <w:r>
        <w:rPr>
          <w:sz w:val="22"/>
          <w:szCs w:val="22"/>
          <w:lang w:eastAsia="ru-RU"/>
        </w:rPr>
        <w:t xml:space="preserve">назначенных на 17 марта 2024 года</w:t>
      </w:r>
      <w:r>
        <w:rPr>
          <w:sz w:val="22"/>
          <w:szCs w:val="22"/>
          <w:lang w:eastAsia="ru-RU"/>
        </w:rPr>
        <w:t xml:space="preserve"> выборов </w:t>
      </w:r>
      <w:r>
        <w:rPr>
          <w:sz w:val="22"/>
          <w:szCs w:val="22"/>
          <w:lang w:eastAsia="ru-RU"/>
        </w:rPr>
        <w:t xml:space="preserve">Президента Российской Федерации</w:t>
      </w: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</w:rPr>
      </w:r>
      <w:r>
        <w:rPr>
          <w:sz w:val="22"/>
          <w:szCs w:val="22"/>
        </w:rPr>
        <w:t xml:space="preserve">» от 13.02.2024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 копия которого вручена Заказчику до подписания настоящего Договора и размещена по </w:t>
      </w:r>
      <w:r>
        <w:rPr>
          <w:sz w:val="22"/>
          <w:szCs w:val="22"/>
        </w:rPr>
        <w:t xml:space="preserve">ссылке </w:t>
      </w:r>
      <w:r>
        <w:rPr>
          <w:sz w:val="22"/>
          <w:szCs w:val="24"/>
        </w:rPr>
        <w:t xml:space="preserve">URL </w:t>
      </w:r>
      <w:r>
        <w:rPr>
          <w:sz w:val="22"/>
          <w:szCs w:val="24"/>
        </w:rPr>
        <w:t xml:space="preserve">https://mirbelogorya.ru/vybory-2024.html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  <w:t xml:space="preserve"> Указанные условия обязательны для </w:t>
      </w:r>
      <w:r>
        <w:rPr>
          <w:sz w:val="22"/>
          <w:szCs w:val="22"/>
        </w:rPr>
        <w:t xml:space="preserve">исполнения </w:t>
      </w:r>
      <w:r>
        <w:rPr>
          <w:sz w:val="22"/>
          <w:szCs w:val="22"/>
        </w:rPr>
        <w:t xml:space="preserve">С</w:t>
      </w:r>
      <w:r>
        <w:rPr>
          <w:sz w:val="22"/>
          <w:szCs w:val="22"/>
        </w:rPr>
        <w:t xml:space="preserve">торонами. </w:t>
      </w:r>
      <w:r>
        <w:rPr>
          <w:sz w:val="22"/>
          <w:szCs w:val="22"/>
        </w:rPr>
      </w:r>
      <w:r/>
      <w:r>
        <w:rPr>
          <w:sz w:val="22"/>
          <w:szCs w:val="22"/>
          <w14:ligatures w14:val="none"/>
        </w:rPr>
      </w:r>
    </w:p>
    <w:p>
      <w:pPr>
        <w:pStyle w:val="834"/>
        <w:pBdr/>
        <w:spacing/>
        <w:ind/>
        <w:jc w:val="both"/>
        <w:rPr>
          <w:sz w:val="22"/>
        </w:rPr>
      </w:pPr>
      <w:r>
        <w:rPr>
          <w:sz w:val="22"/>
          <w:szCs w:val="22"/>
        </w:rPr>
        <w:t xml:space="preserve">4. Дата и время участия в совместном агитационном мероприятии, размещени</w:t>
      </w:r>
      <w:r>
        <w:rPr>
          <w:sz w:val="22"/>
          <w:szCs w:val="22"/>
        </w:rPr>
        <w:t xml:space="preserve">я</w:t>
      </w:r>
      <w:r>
        <w:rPr>
          <w:sz w:val="22"/>
          <w:szCs w:val="22"/>
        </w:rPr>
        <w:t xml:space="preserve"> в эфире каналов Исполнителя агитационных материалов Заказчика в рамках предоставленного бе</w:t>
      </w:r>
      <w:r>
        <w:rPr>
          <w:sz w:val="22"/>
          <w:szCs w:val="22"/>
        </w:rPr>
        <w:t xml:space="preserve">сплатного эфирного времени </w:t>
      </w:r>
      <w:r>
        <w:rPr>
          <w:sz w:val="22"/>
          <w:szCs w:val="22"/>
        </w:rPr>
        <w:t xml:space="preserve">определен</w:t>
      </w:r>
      <w:r>
        <w:rPr>
          <w:sz w:val="22"/>
          <w:szCs w:val="22"/>
        </w:rPr>
        <w:t xml:space="preserve">ы</w:t>
      </w:r>
      <w:r>
        <w:rPr>
          <w:sz w:val="22"/>
          <w:szCs w:val="22"/>
        </w:rPr>
        <w:t xml:space="preserve"> «Протоколом </w:t>
      </w:r>
      <w:r>
        <w:rPr>
          <w:sz w:val="22"/>
          <w:szCs w:val="22"/>
        </w:rPr>
        <w:t xml:space="preserve">жеребьевки по определению дат и времени выхода в эфир на безвозмездной и возмездной основах совместных агитационных мероприятий, предвыборных агитационных материалов зарегистрированных кандидатов на должность Президента Российской Федерации, политических па</w:t>
      </w:r>
      <w:r>
        <w:rPr>
          <w:sz w:val="22"/>
          <w:szCs w:val="22"/>
        </w:rPr>
        <w:t xml:space="preserve">ртий, выдвинувших зарегистрированных кандидатов на должность Президента Российской Федерации, на каналах</w:t>
      </w:r>
      <w:r>
        <w:rPr>
          <w:sz w:val="22"/>
          <w:szCs w:val="22"/>
        </w:rPr>
        <w:t xml:space="preserve">» от 13.02.2024. Полученный Заказчиком Конверт на указанной жеребьевке является неотъемлемым приложением настоящего Договора. </w:t>
      </w:r>
      <w:r>
        <w:rPr>
          <w:sz w:val="22"/>
          <w:szCs w:val="22"/>
        </w:rPr>
      </w:r>
      <w:r>
        <w:rPr>
          <w:sz w:val="22"/>
        </w:rPr>
      </w:r>
    </w:p>
    <w:p>
      <w:pPr>
        <w:pStyle w:val="834"/>
        <w:pBdr/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r>
        <w:rPr>
          <w:sz w:val="22"/>
          <w:szCs w:val="22"/>
        </w:rPr>
        <w:t xml:space="preserve">Настоящий Договор вступает в силу с момента его подписания Сторонами и действует до полного исполнения Сторонами своих обязательств</w:t>
      </w:r>
      <w:r>
        <w:rPr>
          <w:sz w:val="22"/>
          <w:szCs w:val="22"/>
        </w:rPr>
        <w:t xml:space="preserve">, </w:t>
      </w:r>
      <w:r>
        <w:rPr>
          <w:sz w:val="22"/>
          <w:szCs w:val="22"/>
          <w:lang w:eastAsia="ru-RU"/>
        </w:rPr>
        <w:t xml:space="preserve">подписан в </w:t>
      </w:r>
      <w:r>
        <w:rPr>
          <w:sz w:val="22"/>
          <w:szCs w:val="22"/>
          <w:lang w:eastAsia="ru-RU"/>
        </w:rPr>
        <w:t xml:space="preserve">двух</w:t>
      </w:r>
      <w:r>
        <w:rPr>
          <w:sz w:val="22"/>
          <w:szCs w:val="22"/>
          <w:lang w:eastAsia="ru-RU"/>
        </w:rPr>
        <w:t xml:space="preserve"> экземплярах на русском языке</w:t>
      </w:r>
      <w:r>
        <w:rPr>
          <w:sz w:val="22"/>
          <w:szCs w:val="22"/>
          <w:lang w:eastAsia="ru-RU"/>
        </w:rPr>
        <w:t xml:space="preserve">.</w:t>
      </w:r>
      <w:r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</w:r>
    </w:p>
    <w:p>
      <w:pPr>
        <w:pStyle w:val="834"/>
        <w:pBdr/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 </w:t>
      </w:r>
      <w:r>
        <w:rPr>
          <w:sz w:val="22"/>
          <w:szCs w:val="22"/>
        </w:rPr>
        <w:t xml:space="preserve">Реквизиты и п</w:t>
      </w:r>
      <w:r>
        <w:rPr>
          <w:sz w:val="22"/>
          <w:szCs w:val="22"/>
        </w:rPr>
        <w:t xml:space="preserve">одписи сторон:</w:t>
      </w:r>
      <w:r>
        <w:rPr>
          <w:sz w:val="22"/>
          <w:szCs w:val="22"/>
        </w:rPr>
      </w:r>
    </w:p>
    <w:tbl>
      <w:tblPr>
        <w:tblStyle w:val="836"/>
        <w:tblW w:w="0" w:type="auto"/>
        <w:tblBorders/>
        <w:tblLook w:val="04A0" w:firstRow="1" w:lastRow="0" w:firstColumn="1" w:lastColumn="0" w:noHBand="0" w:noVBand="1"/>
      </w:tblPr>
      <w:tblGrid>
        <w:gridCol w:w="4927"/>
        <w:gridCol w:w="4927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7" w:type="dxa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highlight w:val="none"/>
              </w:rPr>
            </w:r>
            <w:r>
              <w:rPr>
                <w:sz w:val="22"/>
                <w:szCs w:val="22"/>
              </w:rPr>
              <w:t xml:space="preserve">Исполнитель:</w:t>
            </w:r>
            <w:r>
              <w:rPr>
                <w:sz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7" w:type="dxa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highlight w:val="none"/>
              </w:rPr>
            </w:r>
            <w:r>
              <w:rPr>
                <w:sz w:val="22"/>
                <w:szCs w:val="22"/>
              </w:rPr>
              <w:t xml:space="preserve"> Заказчик:</w:t>
            </w:r>
            <w:r>
              <w:rPr>
                <w:sz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7" w:type="dxa"/>
            <w:vMerge w:val="restart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Областное автономное учреждение «Телерадиовещательная компания «Мир Белогорья»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ИНН 3123110859 КПП 312301001 ОГРН 1043107031318 ОКПО: 73239625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308000, Белгородская обл., г. Белгород, пр-т. Славы, 60;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left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</w:rPr>
              <w:t xml:space="preserve">тел.:8(4722)58-44-00 факс: 8(4722) 32-13-90 secretary@tvbelgorod.ru</w:t>
            </w:r>
            <w:r>
              <w:rPr>
                <w:sz w:val="22"/>
                <w:szCs w:val="22"/>
              </w:rPr>
              <w:t xml:space="preserve"> </w:t>
            </w:r>
            <w:hyperlink r:id="rId9" w:tooltip="http://mirbelogorya.ru/" w:history="1">
              <w:r>
                <w:rPr>
                  <w:sz w:val="22"/>
                  <w:szCs w:val="22"/>
                </w:rPr>
                <w:t xml:space="preserve">http://mirbelogorya.ru/</w:t>
              </w:r>
            </w:hyperlink>
            <w:r>
              <w:rPr>
                <w:sz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927" w:type="dxa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highlight w:val="none"/>
              </w:rPr>
            </w:r>
            <w:r>
              <w:rPr>
                <w:sz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7" w:type="dxa"/>
            <w:vMerge w:val="continue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927" w:type="dxa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sz w:val="22"/>
                <w:highlight w:val="none"/>
              </w:rPr>
            </w:pPr>
            <w:r>
              <w:rPr>
                <w:sz w:val="22"/>
                <w:highlight w:val="none"/>
              </w:rPr>
            </w:r>
            <w:r>
              <w:rPr>
                <w:sz w:val="22"/>
                <w:highlight w:val="none"/>
              </w:rPr>
            </w:r>
            <w:r>
              <w:rPr>
                <w:sz w:val="22"/>
                <w:highlight w:val="none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7" w:type="dxa"/>
            <w:vMerge w:val="continue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927" w:type="dxa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sz w:val="22"/>
                <w:highlight w:val="none"/>
              </w:rPr>
            </w:pPr>
            <w:r>
              <w:rPr>
                <w:sz w:val="22"/>
                <w:highlight w:val="none"/>
              </w:rPr>
            </w:r>
            <w:r>
              <w:rPr>
                <w:sz w:val="22"/>
                <w:highlight w:val="none"/>
              </w:rPr>
            </w:r>
            <w:r>
              <w:rPr>
                <w:sz w:val="22"/>
                <w:highlight w:val="none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7" w:type="dxa"/>
            <w:vMerge w:val="continue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927" w:type="dxa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sz w:val="22"/>
                <w:highlight w:val="none"/>
              </w:rPr>
            </w:pPr>
            <w:r>
              <w:rPr>
                <w:sz w:val="22"/>
                <w:highlight w:val="none"/>
              </w:rPr>
            </w:r>
            <w:r>
              <w:rPr>
                <w:sz w:val="22"/>
                <w:highlight w:val="none"/>
              </w:rPr>
            </w:r>
            <w:r>
              <w:rPr>
                <w:sz w:val="22"/>
                <w:highlight w:val="none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7" w:type="dxa"/>
            <w:vMerge w:val="continue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927" w:type="dxa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sz w:val="22"/>
                <w:highlight w:val="none"/>
              </w:rPr>
            </w:pPr>
            <w:r>
              <w:rPr>
                <w:sz w:val="22"/>
                <w:highlight w:val="none"/>
              </w:rPr>
            </w:r>
            <w:r>
              <w:rPr>
                <w:sz w:val="22"/>
                <w:highlight w:val="none"/>
              </w:rPr>
            </w:r>
            <w:r>
              <w:rPr>
                <w:sz w:val="22"/>
                <w:highlight w:val="none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7" w:type="dxa"/>
            <w:vMerge w:val="continue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927" w:type="dxa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sz w:val="22"/>
                <w:highlight w:val="none"/>
              </w:rPr>
            </w:pPr>
            <w:r>
              <w:rPr>
                <w:sz w:val="22"/>
                <w:highlight w:val="none"/>
              </w:rPr>
            </w:r>
            <w:r>
              <w:rPr>
                <w:sz w:val="22"/>
                <w:highlight w:val="none"/>
              </w:rPr>
            </w:r>
            <w:r>
              <w:rPr>
                <w:sz w:val="22"/>
                <w:highlight w:val="none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7" w:type="dxa"/>
            <w:vMerge w:val="continue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927" w:type="dxa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sz w:val="22"/>
                <w:highlight w:val="none"/>
              </w:rPr>
            </w:pPr>
            <w:r>
              <w:rPr>
                <w:sz w:val="22"/>
                <w:highlight w:val="none"/>
              </w:rPr>
            </w:r>
            <w:r>
              <w:rPr>
                <w:sz w:val="22"/>
                <w:highlight w:val="none"/>
              </w:rPr>
            </w:r>
            <w:r>
              <w:rPr>
                <w:sz w:val="22"/>
                <w:highlight w:val="none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7" w:type="dxa"/>
            <w:vMerge w:val="continue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927" w:type="dxa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sz w:val="22"/>
                <w:highlight w:val="none"/>
              </w:rPr>
            </w:pPr>
            <w:r>
              <w:rPr>
                <w:sz w:val="22"/>
                <w:highlight w:val="none"/>
              </w:rPr>
            </w:r>
            <w:r>
              <w:rPr>
                <w:sz w:val="22"/>
                <w:highlight w:val="none"/>
              </w:rPr>
            </w:r>
            <w:r>
              <w:rPr>
                <w:sz w:val="22"/>
                <w:highlight w:val="none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7" w:type="dxa"/>
            <w:vMerge w:val="continue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927" w:type="dxa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sz w:val="22"/>
                <w:highlight w:val="none"/>
              </w:rPr>
            </w:pPr>
            <w:r>
              <w:rPr>
                <w:sz w:val="22"/>
                <w:highlight w:val="none"/>
              </w:rPr>
            </w:r>
            <w:r>
              <w:rPr>
                <w:sz w:val="22"/>
                <w:szCs w:val="22"/>
              </w:rPr>
              <w:t xml:space="preserve">Телефон:</w:t>
            </w:r>
            <w:r>
              <w:rPr>
                <w:sz w:val="22"/>
                <w:highlight w:val="none"/>
              </w:rPr>
            </w:r>
            <w:r>
              <w:rPr>
                <w:sz w:val="22"/>
                <w:highlight w:val="none"/>
              </w:rPr>
            </w:r>
            <w:r>
              <w:rPr>
                <w:sz w:val="22"/>
                <w:highlight w:val="none"/>
              </w:rPr>
            </w:r>
            <w:r>
              <w:rPr>
                <w:sz w:val="22"/>
                <w:highlight w:val="none"/>
              </w:rPr>
            </w:r>
            <w:r>
              <w:rPr>
                <w:sz w:val="22"/>
                <w:highlight w:val="none"/>
              </w:rPr>
            </w:r>
            <w:r>
              <w:rPr>
                <w:sz w:val="22"/>
                <w:highlight w:val="none"/>
              </w:rPr>
            </w:r>
            <w:r>
              <w:rPr>
                <w:sz w:val="22"/>
                <w:highlight w:val="none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7" w:type="dxa"/>
            <w:vMerge w:val="continue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927" w:type="dxa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sz w:val="22"/>
                <w:highlight w:val="none"/>
              </w:rPr>
            </w:pPr>
            <w:r>
              <w:rPr>
                <w:sz w:val="22"/>
                <w:highlight w:val="none"/>
              </w:rPr>
            </w:r>
            <w:r>
              <w:rPr>
                <w:sz w:val="22"/>
                <w:szCs w:val="22"/>
                <w:lang w:val="en-US"/>
              </w:rPr>
              <w:t xml:space="preserve">e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  <w:lang w:val="en-US"/>
              </w:rPr>
              <w:t xml:space="preserve">mail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highlight w:val="none"/>
              </w:rPr>
            </w:r>
            <w:r>
              <w:rPr>
                <w:sz w:val="22"/>
                <w:highlight w:val="none"/>
              </w:rPr>
            </w:r>
            <w:r>
              <w:rPr>
                <w:sz w:val="22"/>
                <w:highlight w:val="none"/>
              </w:rPr>
            </w:r>
            <w:r>
              <w:rPr>
                <w:sz w:val="22"/>
                <w:highlight w:val="none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highlight w:val="none"/>
              </w:rPr>
            </w:r>
            <w:r>
              <w:rPr>
                <w:sz w:val="22"/>
                <w:highlight w:val="none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7" w:type="dxa"/>
            <w:vMerge w:val="continue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7" w:type="dxa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sz w:val="22"/>
                <w:highlight w:val="none"/>
              </w:rPr>
            </w:pPr>
            <w:r>
              <w:rPr>
                <w:sz w:val="22"/>
                <w:highlight w:val="none"/>
              </w:rPr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highlight w:val="none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7" w:type="dxa"/>
            <w:vMerge w:val="restart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Исполнителя: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7" w:type="dxa"/>
            <w:vMerge w:val="restart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sz w:val="22"/>
                <w:highlight w:val="none"/>
              </w:rPr>
            </w:pPr>
            <w:r>
              <w:rPr>
                <w:sz w:val="22"/>
                <w:highlight w:val="none"/>
              </w:rPr>
              <w:t xml:space="preserve">От Заказчика:</w:t>
            </w:r>
            <w:r>
              <w:rPr>
                <w:sz w:val="22"/>
                <w:highlight w:val="none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927" w:type="dxa"/>
            <w:vMerge w:val="restart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927" w:type="dxa"/>
            <w:vMerge w:val="restart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sz w:val="22"/>
                <w:highlight w:val="none"/>
              </w:rPr>
            </w:pPr>
            <w:r>
              <w:rPr>
                <w:sz w:val="22"/>
                <w:highlight w:val="none"/>
              </w:rPr>
            </w:r>
            <w:r>
              <w:rPr>
                <w:sz w:val="22"/>
                <w:highlight w:val="none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927" w:type="dxa"/>
            <w:vMerge w:val="restart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4"/>
              <w:pBdr/>
              <w:spacing/>
              <w:ind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927" w:type="dxa"/>
            <w:vMerge w:val="restart"/>
            <w:textDirection w:val="lrTb"/>
            <w:noWrap w:val="false"/>
          </w:tcPr>
          <w:p>
            <w:pPr>
              <w:pStyle w:val="834"/>
              <w:pBdr/>
              <w:spacing/>
              <w:ind/>
              <w:jc w:val="both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highlight w:val="none"/>
              </w:rPr>
            </w:r>
            <w:r>
              <w:rPr>
                <w:sz w:val="22"/>
                <w:highlight w:val="none"/>
              </w:rPr>
            </w:r>
          </w:p>
          <w:p>
            <w:pPr>
              <w:pStyle w:val="834"/>
              <w:pBdr/>
              <w:spacing/>
              <w:ind/>
              <w:jc w:val="both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highlight w:val="none"/>
              </w:rPr>
            </w:r>
            <w:r>
              <w:rPr>
                <w:sz w:val="22"/>
                <w:highlight w:val="none"/>
              </w:rPr>
            </w:r>
          </w:p>
        </w:tc>
      </w:tr>
    </w:tbl>
    <w:p>
      <w:pPr>
        <w:pStyle w:val="838"/>
        <w:pBdr/>
        <w:spacing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sectPr>
      <w:footnotePr/>
      <w:endnotePr/>
      <w:type w:val="nextPage"/>
      <w:pgSz w:h="16838" w:orient="landscape" w:w="11906"/>
      <w:pgMar w:top="567" w:right="1134" w:bottom="709" w:left="1134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5">
    <w:name w:val="Heading 1"/>
    <w:basedOn w:val="830"/>
    <w:next w:val="830"/>
    <w:link w:val="65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6">
    <w:name w:val="Heading 1 Char"/>
    <w:basedOn w:val="831"/>
    <w:link w:val="655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7">
    <w:name w:val="Heading 2"/>
    <w:basedOn w:val="830"/>
    <w:next w:val="830"/>
    <w:link w:val="658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8">
    <w:name w:val="Heading 2 Char"/>
    <w:basedOn w:val="831"/>
    <w:link w:val="657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9">
    <w:name w:val="Heading 3"/>
    <w:basedOn w:val="830"/>
    <w:next w:val="830"/>
    <w:link w:val="660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60">
    <w:name w:val="Heading 3 Char"/>
    <w:basedOn w:val="831"/>
    <w:link w:val="659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1">
    <w:name w:val="Heading 4"/>
    <w:basedOn w:val="830"/>
    <w:next w:val="830"/>
    <w:link w:val="66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2">
    <w:name w:val="Heading 4 Char"/>
    <w:basedOn w:val="831"/>
    <w:link w:val="66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3">
    <w:name w:val="Heading 5"/>
    <w:basedOn w:val="830"/>
    <w:next w:val="830"/>
    <w:link w:val="66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4">
    <w:name w:val="Heading 5 Char"/>
    <w:basedOn w:val="831"/>
    <w:link w:val="66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5">
    <w:name w:val="Heading 6"/>
    <w:basedOn w:val="830"/>
    <w:next w:val="830"/>
    <w:link w:val="66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6">
    <w:name w:val="Heading 6 Char"/>
    <w:basedOn w:val="831"/>
    <w:link w:val="66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7">
    <w:name w:val="Heading 7"/>
    <w:basedOn w:val="830"/>
    <w:next w:val="830"/>
    <w:link w:val="66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8">
    <w:name w:val="Heading 7 Char"/>
    <w:basedOn w:val="831"/>
    <w:link w:val="66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9">
    <w:name w:val="Heading 8"/>
    <w:basedOn w:val="830"/>
    <w:next w:val="830"/>
    <w:link w:val="67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0">
    <w:name w:val="Heading 8 Char"/>
    <w:basedOn w:val="831"/>
    <w:link w:val="66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1">
    <w:name w:val="Heading 9"/>
    <w:basedOn w:val="830"/>
    <w:next w:val="830"/>
    <w:link w:val="67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2">
    <w:name w:val="Heading 9 Char"/>
    <w:basedOn w:val="831"/>
    <w:link w:val="67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3">
    <w:name w:val="List Paragraph"/>
    <w:basedOn w:val="830"/>
    <w:uiPriority w:val="34"/>
    <w:qFormat/>
    <w:pPr>
      <w:pBdr/>
      <w:spacing/>
      <w:ind w:left="720"/>
      <w:contextualSpacing w:val="true"/>
    </w:pPr>
  </w:style>
  <w:style w:type="paragraph" w:styleId="674">
    <w:name w:val="Title"/>
    <w:basedOn w:val="830"/>
    <w:next w:val="830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basedOn w:val="831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basedOn w:val="830"/>
    <w:next w:val="830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basedOn w:val="831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basedOn w:val="830"/>
    <w:next w:val="830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basedOn w:val="830"/>
    <w:next w:val="830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basedOn w:val="830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basedOn w:val="831"/>
    <w:link w:val="682"/>
    <w:uiPriority w:val="99"/>
    <w:pPr>
      <w:pBdr/>
      <w:spacing/>
      <w:ind/>
    </w:pPr>
  </w:style>
  <w:style w:type="paragraph" w:styleId="684">
    <w:name w:val="Footer"/>
    <w:basedOn w:val="830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basedOn w:val="831"/>
    <w:link w:val="684"/>
    <w:uiPriority w:val="99"/>
    <w:pPr>
      <w:pBdr/>
      <w:spacing/>
      <w:ind/>
    </w:pPr>
  </w:style>
  <w:style w:type="paragraph" w:styleId="686">
    <w:name w:val="Caption"/>
    <w:basedOn w:val="830"/>
    <w:next w:val="83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 Light"/>
    <w:basedOn w:val="8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Plain Table 1"/>
    <w:basedOn w:val="8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2"/>
    <w:basedOn w:val="8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3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4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5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1 Light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 - Accent 1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2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3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4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5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6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2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 - Accent 1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2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3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4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5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6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3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 - Accent 1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2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3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4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5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6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4"/>
    <w:basedOn w:val="8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 - Accent 1"/>
    <w:basedOn w:val="8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2"/>
    <w:basedOn w:val="8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3"/>
    <w:basedOn w:val="8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4"/>
    <w:basedOn w:val="8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5"/>
    <w:basedOn w:val="8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6"/>
    <w:basedOn w:val="8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5 Dark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- Accent 1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 - Accent 2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3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- Accent 4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 - Accent 5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6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6 Colorful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 - Accent 1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2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3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4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5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6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7 Colorful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 - Accent 1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2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3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4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5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6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1 Light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 - Accent 1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2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3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4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5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6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2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 - Accent 1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2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3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4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5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6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3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 - Accent 1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2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3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4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5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6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4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 - Accent 1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2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3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4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5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6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5 Dark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 - Accent 1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2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3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4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5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6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6 Colorful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 - Accent 1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2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3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4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5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6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7 Colorful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 - Accent 1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2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3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4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5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6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ned - Accent"/>
    <w:basedOn w:val="8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 1"/>
    <w:basedOn w:val="8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2"/>
    <w:basedOn w:val="8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3"/>
    <w:basedOn w:val="8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4"/>
    <w:basedOn w:val="8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5"/>
    <w:basedOn w:val="8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6"/>
    <w:basedOn w:val="8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Bordered &amp; Lined - Accent"/>
    <w:basedOn w:val="8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 1"/>
    <w:basedOn w:val="8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2"/>
    <w:basedOn w:val="8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3"/>
    <w:basedOn w:val="8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4"/>
    <w:basedOn w:val="8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5"/>
    <w:basedOn w:val="8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6"/>
    <w:basedOn w:val="8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 - Accent 1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2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3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4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5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6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3">
    <w:name w:val="footnote text"/>
    <w:basedOn w:val="830"/>
    <w:link w:val="81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4">
    <w:name w:val="Footnote Text Char"/>
    <w:link w:val="813"/>
    <w:uiPriority w:val="99"/>
    <w:pPr>
      <w:pBdr/>
      <w:spacing/>
      <w:ind/>
    </w:pPr>
    <w:rPr>
      <w:sz w:val="18"/>
    </w:rPr>
  </w:style>
  <w:style w:type="character" w:styleId="815">
    <w:name w:val="footnote reference"/>
    <w:basedOn w:val="831"/>
    <w:uiPriority w:val="99"/>
    <w:unhideWhenUsed/>
    <w:pPr>
      <w:pBdr/>
      <w:spacing/>
      <w:ind/>
    </w:pPr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7">
    <w:name w:val="Endnote Text Char"/>
    <w:link w:val="816"/>
    <w:uiPriority w:val="99"/>
    <w:pPr>
      <w:pBdr/>
      <w:spacing/>
      <w:ind/>
    </w:pPr>
    <w:rPr>
      <w:sz w:val="20"/>
    </w:rPr>
  </w:style>
  <w:style w:type="character" w:styleId="818">
    <w:name w:val="endnote reference"/>
    <w:basedOn w:val="831"/>
    <w:uiPriority w:val="99"/>
    <w:semiHidden/>
    <w:unhideWhenUsed/>
    <w:pPr>
      <w:pBdr/>
      <w:spacing/>
      <w:ind/>
    </w:pPr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pBdr/>
      <w:spacing w:after="57"/>
      <w:ind w:right="0" w:firstLine="0" w:left="0"/>
    </w:pPr>
  </w:style>
  <w:style w:type="paragraph" w:styleId="820">
    <w:name w:val="toc 2"/>
    <w:basedOn w:val="830"/>
    <w:next w:val="830"/>
    <w:uiPriority w:val="39"/>
    <w:unhideWhenUsed/>
    <w:pPr>
      <w:pBdr/>
      <w:spacing w:after="57"/>
      <w:ind w:right="0" w:firstLine="0" w:left="283"/>
    </w:pPr>
  </w:style>
  <w:style w:type="paragraph" w:styleId="821">
    <w:name w:val="toc 3"/>
    <w:basedOn w:val="830"/>
    <w:next w:val="830"/>
    <w:uiPriority w:val="39"/>
    <w:unhideWhenUsed/>
    <w:pPr>
      <w:pBdr/>
      <w:spacing w:after="57"/>
      <w:ind w:right="0" w:firstLine="0" w:left="567"/>
    </w:pPr>
  </w:style>
  <w:style w:type="paragraph" w:styleId="822">
    <w:name w:val="toc 4"/>
    <w:basedOn w:val="830"/>
    <w:next w:val="830"/>
    <w:uiPriority w:val="39"/>
    <w:unhideWhenUsed/>
    <w:pPr>
      <w:pBdr/>
      <w:spacing w:after="57"/>
      <w:ind w:right="0" w:firstLine="0" w:left="850"/>
    </w:pPr>
  </w:style>
  <w:style w:type="paragraph" w:styleId="823">
    <w:name w:val="toc 5"/>
    <w:basedOn w:val="830"/>
    <w:next w:val="830"/>
    <w:uiPriority w:val="39"/>
    <w:unhideWhenUsed/>
    <w:pPr>
      <w:pBdr/>
      <w:spacing w:after="57"/>
      <w:ind w:right="0" w:firstLine="0" w:left="1134"/>
    </w:pPr>
  </w:style>
  <w:style w:type="paragraph" w:styleId="824">
    <w:name w:val="toc 6"/>
    <w:basedOn w:val="830"/>
    <w:next w:val="830"/>
    <w:uiPriority w:val="39"/>
    <w:unhideWhenUsed/>
    <w:pPr>
      <w:pBdr/>
      <w:spacing w:after="57"/>
      <w:ind w:right="0" w:firstLine="0" w:left="1417"/>
    </w:pPr>
  </w:style>
  <w:style w:type="paragraph" w:styleId="825">
    <w:name w:val="toc 7"/>
    <w:basedOn w:val="830"/>
    <w:next w:val="830"/>
    <w:uiPriority w:val="39"/>
    <w:unhideWhenUsed/>
    <w:pPr>
      <w:pBdr/>
      <w:spacing w:after="57"/>
      <w:ind w:right="0" w:firstLine="0" w:left="1701"/>
    </w:pPr>
  </w:style>
  <w:style w:type="paragraph" w:styleId="826">
    <w:name w:val="toc 8"/>
    <w:basedOn w:val="830"/>
    <w:next w:val="830"/>
    <w:uiPriority w:val="39"/>
    <w:unhideWhenUsed/>
    <w:pPr>
      <w:pBdr/>
      <w:spacing w:after="57"/>
      <w:ind w:right="0" w:firstLine="0" w:left="1984"/>
    </w:pPr>
  </w:style>
  <w:style w:type="paragraph" w:styleId="827">
    <w:name w:val="toc 9"/>
    <w:basedOn w:val="830"/>
    <w:next w:val="830"/>
    <w:uiPriority w:val="39"/>
    <w:unhideWhenUsed/>
    <w:pPr>
      <w:pBdr/>
      <w:spacing w:after="57"/>
      <w:ind w:right="0" w:firstLine="0" w:left="2268"/>
    </w:pPr>
  </w:style>
  <w:style w:type="paragraph" w:styleId="828">
    <w:name w:val="TOC Heading"/>
    <w:uiPriority w:val="39"/>
    <w:unhideWhenUsed/>
    <w:pPr>
      <w:pBdr/>
      <w:spacing/>
      <w:ind/>
    </w:pPr>
  </w:style>
  <w:style w:type="paragraph" w:styleId="829">
    <w:name w:val="table of figures"/>
    <w:basedOn w:val="830"/>
    <w:next w:val="830"/>
    <w:uiPriority w:val="99"/>
    <w:unhideWhenUsed/>
    <w:pPr>
      <w:pBdr/>
      <w:spacing w:after="0" w:afterAutospacing="0"/>
      <w:ind/>
    </w:pPr>
  </w:style>
  <w:style w:type="paragraph" w:styleId="830" w:default="1">
    <w:name w:val="Normal"/>
    <w:qFormat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831" w:default="1">
    <w:name w:val="Default Paragraph Font"/>
    <w:uiPriority w:val="1"/>
    <w:semiHidden/>
    <w:unhideWhenUsed/>
    <w:pPr>
      <w:pBdr/>
      <w:spacing/>
      <w:ind/>
    </w:pPr>
  </w:style>
  <w:style w:type="table" w:styleId="83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>
    <w:name w:val="No Spacing"/>
    <w:uiPriority w:val="1"/>
    <w:qFormat/>
    <w:pPr>
      <w:pBdr/>
      <w:spacing w:after="0" w:line="240" w:lineRule="auto"/>
      <w:ind/>
    </w:pPr>
    <w:rPr>
      <w:rFonts w:ascii="Times New Roman" w:hAnsi="Times New Roman"/>
      <w:sz w:val="24"/>
    </w:rPr>
  </w:style>
  <w:style w:type="paragraph" w:styleId="835" w:customStyle="1">
    <w:name w:val="ConsPlusNonformat"/>
    <w:uiPriority w:val="99"/>
    <w:pPr>
      <w:widowControl w:val="false"/>
      <w:pBdr/>
      <w:spacing w:after="0" w:line="240" w:lineRule="auto"/>
      <w:ind/>
    </w:pPr>
    <w:rPr>
      <w:rFonts w:ascii="Courier New" w:hAnsi="Courier New" w:eastAsia="Calibri" w:cs="Courier New"/>
      <w:sz w:val="20"/>
      <w:szCs w:val="20"/>
      <w:lang w:eastAsia="ru-RU"/>
    </w:rPr>
  </w:style>
  <w:style w:type="table" w:styleId="836">
    <w:name w:val="Table Grid"/>
    <w:basedOn w:val="832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37" w:customStyle="1">
    <w:name w:val="Основной шрифт абзаца1"/>
    <w:pPr>
      <w:pBdr/>
      <w:spacing/>
      <w:ind/>
    </w:pPr>
  </w:style>
  <w:style w:type="paragraph" w:styleId="838" w:customStyle="1">
    <w:name w:val="ConsPlusNormal"/>
    <w:pPr>
      <w:widowControl w:val="false"/>
      <w:pBdr/>
      <w:spacing w:after="0" w:line="240" w:lineRule="auto"/>
      <w:ind/>
    </w:pPr>
    <w:rPr>
      <w:rFonts w:ascii="Times New Roman" w:hAnsi="Times New Roman" w:eastAsia="Calibri" w:cs="Times New Roman"/>
      <w:sz w:val="24"/>
      <w:szCs w:val="24"/>
      <w:lang w:eastAsia="ru-RU"/>
    </w:rPr>
  </w:style>
  <w:style w:type="character" w:styleId="839">
    <w:name w:val="Hyperlink"/>
    <w:basedOn w:val="831"/>
    <w:uiPriority w:val="99"/>
    <w:unhideWhenUsed/>
    <w:pPr>
      <w:pBdr/>
      <w:spacing/>
      <w:ind/>
    </w:pPr>
    <w:rPr>
      <w:color w:val="0000ff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://mirbelogorya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Мирошников</dc:creator>
  <cp:revision>8</cp:revision>
  <dcterms:created xsi:type="dcterms:W3CDTF">2020-08-13T06:37:00Z</dcterms:created>
  <dcterms:modified xsi:type="dcterms:W3CDTF">2024-02-12T20:30:27Z</dcterms:modified>
</cp:coreProperties>
</file>