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8"/>
        <w:pBdr/>
        <w:spacing/>
        <w:ind/>
        <w:jc w:val="center"/>
        <w:rPr>
          <w:sz w:val="22"/>
        </w:rPr>
      </w:pPr>
      <w:r>
        <w:rPr>
          <w:sz w:val="22"/>
        </w:rPr>
        <w:t xml:space="preserve">ДОГОВОР № _____ </w:t>
      </w:r>
      <w:r>
        <w:rPr>
          <w:sz w:val="22"/>
        </w:rPr>
      </w:r>
      <w:r>
        <w:rPr>
          <w:sz w:val="22"/>
        </w:rPr>
      </w:r>
    </w:p>
    <w:p>
      <w:pPr>
        <w:pStyle w:val="888"/>
        <w:pBdr/>
        <w:spacing/>
        <w:ind/>
        <w:jc w:val="center"/>
        <w:rPr>
          <w:sz w:val="22"/>
        </w:rPr>
      </w:pPr>
      <w:r>
        <w:rPr>
          <w:sz w:val="22"/>
        </w:rPr>
        <w:t xml:space="preserve">о безвозмездном предоставлении эфирного времени для проведения предвыборной агитации</w:t>
      </w:r>
      <w:r>
        <w:rPr>
          <w:sz w:val="22"/>
        </w:rPr>
      </w:r>
      <w:r>
        <w:rPr>
          <w:sz w:val="22"/>
        </w:rPr>
      </w:r>
    </w:p>
    <w:p>
      <w:pPr>
        <w:pStyle w:val="888"/>
        <w:pBdr/>
        <w:spacing/>
        <w:ind/>
        <w:jc w:val="center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  <w:tblStyle w:val="890"/>
      </w:tblPr>
      <w:tblGrid>
        <w:gridCol w:w="4927"/>
        <w:gridCol w:w="4927"/>
      </w:tblGrid>
      <w:tr>
        <w:trPr/>
        <w:tc>
          <w:tcPr>
            <w:tcBorders/>
            <w:tcW w:w="4927" w:type="dxa"/>
            <w:textDirection w:val="lrTb"/>
            <w:noWrap w:val="false"/>
          </w:tcPr>
          <w:p>
            <w:pPr>
              <w:pStyle w:val="888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город Белгород</w:t>
            </w:r>
            <w:r>
              <w:rPr>
                <w:sz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927" w:type="dxa"/>
            <w:textDirection w:val="lrTb"/>
            <w:noWrap w:val="false"/>
          </w:tcPr>
          <w:p>
            <w:pPr>
              <w:pStyle w:val="888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___/___/ 2025</w:t>
            </w:r>
            <w:r>
              <w:rPr>
                <w:sz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88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Bdr/>
        <w:spacing/>
        <w:ind/>
        <w:jc w:val="both"/>
        <w:rPr>
          <w:sz w:val="22"/>
          <w:szCs w:val="22"/>
          <w14:ligatures w14:val="none"/>
        </w:rPr>
      </w:pPr>
      <w:r>
        <w:rPr>
          <w:sz w:val="22"/>
          <w:szCs w:val="22"/>
        </w:rPr>
        <w:t xml:space="preserve">Исполнитель: </w:t>
      </w:r>
      <w:r>
        <w:rPr>
          <w:sz w:val="22"/>
          <w:szCs w:val="22"/>
        </w:rPr>
        <w:t xml:space="preserve">Областное автономное учреждение «Телерадиовещательная компания «Мир Белогорья», в лице ______________________________________________________</w:t>
      </w:r>
      <w:r>
        <w:rPr>
          <w:sz w:val="22"/>
          <w:szCs w:val="22"/>
        </w:rPr>
        <w:t xml:space="preserve">, действующей на основании ____________________________________, </w:t>
      </w:r>
      <w:r>
        <w:rPr>
          <w:sz w:val="22"/>
          <w:szCs w:val="22"/>
        </w:rPr>
        <w:t xml:space="preserve">одной стороны, и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pStyle w:val="888"/>
        <w:pBdr/>
        <w:spacing/>
        <w:ind/>
        <w:rPr>
          <w:rFonts w:cs="Times New Roman"/>
          <w:sz w:val="22"/>
          <w:szCs w:val="22"/>
        </w:rPr>
      </w:pPr>
      <w:r>
        <w:rPr>
          <w:sz w:val="22"/>
        </w:rPr>
        <w:t xml:space="preserve">Заказчик:</w:t>
      </w:r>
      <w:r>
        <w:rPr>
          <w:sz w:val="22"/>
        </w:rPr>
        <w:t xml:space="preserve"> </w:t>
      </w:r>
      <w:r>
        <w:rPr>
          <w:rFonts w:cs="Times New Roman"/>
          <w:sz w:val="22"/>
          <w:szCs w:val="22"/>
        </w:rPr>
        <w:t xml:space="preserve">Кандидат в депутаты Белгородской областной Думы восьмого созыва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888"/>
        <w:pBdr/>
        <w:spacing/>
        <w:ind/>
        <w:rPr>
          <w:sz w:val="22"/>
        </w:rPr>
      </w:pPr>
      <w:r>
        <w:rPr>
          <w:rFonts w:cs="Times New Roman"/>
          <w:sz w:val="22"/>
          <w:szCs w:val="22"/>
        </w:rPr>
        <w:t xml:space="preserve">________________________________________________________________________________ </w:t>
      </w:r>
      <w:r>
        <w:rPr>
          <w:sz w:val="22"/>
        </w:rPr>
      </w:r>
      <w:r>
        <w:rPr>
          <w:sz w:val="22"/>
        </w:rPr>
      </w:r>
    </w:p>
    <w:p>
      <w:pPr>
        <w:pStyle w:val="888"/>
        <w:pBdr/>
        <w:spacing/>
        <w:ind/>
        <w:rPr>
          <w:sz w:val="22"/>
        </w:rPr>
      </w:pPr>
      <w:r>
        <w:rPr>
          <w:sz w:val="22"/>
        </w:rPr>
        <w:t xml:space="preserve">в</w:t>
      </w:r>
      <w:r>
        <w:rPr>
          <w:sz w:val="22"/>
        </w:rPr>
        <w:t xml:space="preserve"> лице </w:t>
      </w:r>
      <w:r>
        <w:rPr>
          <w:sz w:val="22"/>
        </w:rPr>
        <w:t xml:space="preserve">_____________________________</w:t>
      </w:r>
      <w:r>
        <w:rPr>
          <w:sz w:val="22"/>
        </w:rPr>
        <w:t xml:space="preserve">___</w:t>
      </w:r>
      <w:r>
        <w:rPr>
          <w:sz w:val="22"/>
        </w:rPr>
        <w:t xml:space="preserve"> </w:t>
      </w:r>
      <w:r>
        <w:rPr>
          <w:sz w:val="22"/>
        </w:rPr>
        <w:t xml:space="preserve">действующ</w:t>
      </w:r>
      <w:r>
        <w:rPr>
          <w:sz w:val="22"/>
        </w:rPr>
        <w:t xml:space="preserve">__</w:t>
      </w:r>
      <w:r>
        <w:rPr>
          <w:sz w:val="22"/>
        </w:rPr>
        <w:t xml:space="preserve">__</w:t>
      </w:r>
      <w:r>
        <w:rPr>
          <w:sz w:val="22"/>
        </w:rPr>
        <w:t xml:space="preserve"> на основании ______</w:t>
      </w:r>
      <w:r>
        <w:rPr>
          <w:sz w:val="22"/>
        </w:rPr>
        <w:t xml:space="preserve">__</w:t>
      </w:r>
      <w:bookmarkStart w:id="0" w:name="_GoBack"/>
      <w:r>
        <w:rPr>
          <w:sz w:val="22"/>
          <w:szCs w:val="22"/>
        </w:rPr>
      </w:r>
      <w:bookmarkEnd w:id="0"/>
      <w:r>
        <w:rPr>
          <w:sz w:val="22"/>
        </w:rPr>
        <w:t xml:space="preserve">______________</w:t>
      </w:r>
      <w:r>
        <w:rPr>
          <w:sz w:val="22"/>
        </w:rPr>
        <w:t xml:space="preserve"> </w:t>
      </w:r>
      <w:r>
        <w:rPr>
          <w:sz w:val="22"/>
        </w:rPr>
      </w:r>
      <w:r>
        <w:rPr>
          <w:sz w:val="22"/>
        </w:rPr>
      </w:r>
    </w:p>
    <w:p>
      <w:pPr>
        <w:pStyle w:val="888"/>
        <w:pBdr/>
        <w:spacing/>
        <w:ind/>
        <w:rPr>
          <w:sz w:val="22"/>
        </w:rPr>
      </w:pPr>
      <w:r>
        <w:rPr>
          <w:sz w:val="22"/>
        </w:rPr>
        <w:t xml:space="preserve">_______________________________________________________________________________________ </w:t>
      </w:r>
      <w:r>
        <w:rPr>
          <w:sz w:val="22"/>
        </w:rPr>
      </w:r>
      <w:r>
        <w:rPr>
          <w:sz w:val="22"/>
        </w:rPr>
      </w:r>
    </w:p>
    <w:p>
      <w:pPr>
        <w:pStyle w:val="888"/>
        <w:pBdr/>
        <w:spacing/>
        <w:ind/>
        <w:rPr>
          <w:sz w:val="22"/>
        </w:rPr>
      </w:pPr>
      <w:r>
        <w:rPr>
          <w:sz w:val="22"/>
        </w:rPr>
        <w:t xml:space="preserve">с другой стороны, заключили настоящий Договор о нижеследующем. </w:t>
      </w:r>
      <w:r>
        <w:rPr>
          <w:sz w:val="22"/>
        </w:rPr>
      </w:r>
      <w:r>
        <w:rPr>
          <w:sz w:val="22"/>
        </w:rPr>
      </w:r>
    </w:p>
    <w:p>
      <w:pPr>
        <w:pStyle w:val="888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92"/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В соответствии с настоящим Договором Исполните</w:t>
      </w:r>
      <w:r>
        <w:rPr>
          <w:sz w:val="22"/>
          <w:szCs w:val="22"/>
        </w:rPr>
        <w:t xml:space="preserve">ль обязуется безвозмездно оказать услуги по предоставлению Заказчику бесплатного эфирного времени для проведения предвыборной агитации, то есть оказать услуги по размещению в эфире материалов Заказчика в рамках предоставленного бесплатного эфирного времени</w:t>
      </w:r>
      <w:r>
        <w:rPr>
          <w:sz w:val="22"/>
          <w:szCs w:val="22"/>
        </w:rPr>
        <w:t xml:space="preserve"> для размещения агитационных материалов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Настоящий Договор </w:t>
      </w:r>
      <w:r>
        <w:rPr>
          <w:sz w:val="22"/>
          <w:szCs w:val="22"/>
        </w:rPr>
        <w:t xml:space="preserve">за</w:t>
      </w:r>
      <w:r>
        <w:rPr>
          <w:sz w:val="22"/>
          <w:szCs w:val="22"/>
        </w:rPr>
        <w:t xml:space="preserve">к</w:t>
      </w:r>
      <w:r>
        <w:rPr>
          <w:sz w:val="22"/>
          <w:szCs w:val="22"/>
        </w:rPr>
        <w:t xml:space="preserve">лючен</w:t>
      </w:r>
      <w:r>
        <w:rPr>
          <w:sz w:val="22"/>
          <w:szCs w:val="22"/>
        </w:rPr>
        <w:t xml:space="preserve"> в порядк</w:t>
      </w:r>
      <w:r>
        <w:rPr>
          <w:sz w:val="22"/>
          <w:szCs w:val="22"/>
        </w:rPr>
        <w:t xml:space="preserve">е, предусмотренном </w:t>
      </w:r>
      <w:r>
        <w:rPr>
          <w:sz w:val="22"/>
          <w:szCs w:val="22"/>
        </w:rPr>
        <w:t xml:space="preserve">Федеральны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 закон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 от 12.06.2002 </w:t>
      </w:r>
      <w:r>
        <w:rPr>
          <w:sz w:val="22"/>
          <w:szCs w:val="22"/>
        </w:rPr>
        <w:t xml:space="preserve">№ </w:t>
      </w:r>
      <w:r>
        <w:rPr>
          <w:sz w:val="22"/>
          <w:szCs w:val="22"/>
        </w:rPr>
        <w:t xml:space="preserve">67-ФЗ</w:t>
      </w:r>
      <w:r>
        <w:rPr>
          <w:sz w:val="22"/>
          <w:szCs w:val="22"/>
        </w:rPr>
        <w:t xml:space="preserve"> «</w:t>
      </w:r>
      <w:r>
        <w:rPr>
          <w:sz w:val="22"/>
          <w:szCs w:val="22"/>
        </w:rPr>
        <w:t xml:space="preserve">Об основных гарантиях избирательных прав и права на участие в референдуме граждан Российской Федерации</w:t>
      </w:r>
      <w:r>
        <w:rPr>
          <w:sz w:val="22"/>
          <w:szCs w:val="22"/>
        </w:rPr>
        <w:t xml:space="preserve">», Законом Белгородской области от 01.04.2005 </w:t>
      </w:r>
      <w:r>
        <w:rPr>
          <w:sz w:val="22"/>
          <w:szCs w:val="22"/>
        </w:rPr>
        <w:t xml:space="preserve">№ </w:t>
      </w:r>
      <w:r>
        <w:rPr>
          <w:sz w:val="22"/>
          <w:szCs w:val="22"/>
        </w:rPr>
        <w:t xml:space="preserve">182 «</w:t>
      </w:r>
      <w:r>
        <w:rPr>
          <w:sz w:val="22"/>
          <w:szCs w:val="22"/>
        </w:rPr>
        <w:t xml:space="preserve">Избирательный кодекс Белгородской области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словия по предоставлению Заказчику бесплатного эфирного времени для проведения предвыборной агитации установлены в «Порядке </w:t>
      </w:r>
      <w:r>
        <w:rPr>
          <w:sz w:val="22"/>
          <w:szCs w:val="22"/>
        </w:rPr>
        <w:t xml:space="preserve">предоставления</w:t>
      </w:r>
      <w:r>
        <w:rPr>
          <w:sz w:val="22"/>
          <w:szCs w:val="22"/>
        </w:rPr>
        <w:t xml:space="preserve"> бесплатного эфирного времени для проведения предвыборной агитации при проведении 14 сентября 2025 года выборов депутатов Белгородской областной Думы восьмого созыва»</w:t>
      </w:r>
      <w:r>
        <w:rPr>
          <w:sz w:val="22"/>
          <w:szCs w:val="22"/>
        </w:rPr>
        <w:t xml:space="preserve">, заверенная </w:t>
      </w:r>
      <w:r>
        <w:rPr>
          <w:sz w:val="22"/>
          <w:szCs w:val="22"/>
        </w:rPr>
        <w:t xml:space="preserve">Исполнителем</w:t>
      </w:r>
      <w:r>
        <w:rPr>
          <w:sz w:val="22"/>
          <w:szCs w:val="22"/>
        </w:rPr>
        <w:t xml:space="preserve"> копия которого вручена Заказчику до подписания настоящего Договора и является частью настоящего Договора, обязательной для исполнения </w:t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торонами. </w:t>
      </w:r>
      <w:r>
        <w:rPr>
          <w:sz w:val="22"/>
          <w:szCs w:val="22"/>
          <w:lang w:eastAsia="ru-RU"/>
        </w:rPr>
      </w:r>
      <w:r>
        <w:rPr>
          <w:sz w:val="22"/>
          <w:szCs w:val="22"/>
        </w:rPr>
      </w:r>
    </w:p>
    <w:p>
      <w:pPr>
        <w:pStyle w:val="892"/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Даты и время размещени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в эфире материалов Заказчика в рамках предоставленного бе</w:t>
      </w:r>
      <w:r>
        <w:rPr>
          <w:sz w:val="22"/>
          <w:szCs w:val="22"/>
        </w:rPr>
        <w:t xml:space="preserve">сплатного эфирного времени </w:t>
      </w:r>
      <w:r>
        <w:rPr>
          <w:sz w:val="22"/>
          <w:szCs w:val="22"/>
        </w:rPr>
        <w:t xml:space="preserve">определен</w:t>
      </w:r>
      <w:r>
        <w:rPr>
          <w:sz w:val="22"/>
          <w:szCs w:val="22"/>
        </w:rPr>
        <w:t xml:space="preserve">ы</w:t>
      </w:r>
      <w:r>
        <w:rPr>
          <w:sz w:val="22"/>
          <w:szCs w:val="22"/>
        </w:rPr>
        <w:t xml:space="preserve"> протоколом жеребьевки по распределению эфирного времени на каналах региональных государственных организаций, осуществляющих тел</w:t>
      </w:r>
      <w:r>
        <w:rPr>
          <w:sz w:val="22"/>
          <w:szCs w:val="22"/>
        </w:rPr>
        <w:t xml:space="preserve">е-</w:t>
      </w:r>
      <w:r>
        <w:rPr>
          <w:sz w:val="22"/>
          <w:szCs w:val="22"/>
        </w:rPr>
        <w:t xml:space="preserve"> и (или) радиовещание, между зарегистрированными кандидатами, списками кандидатов 13 августа 2025 года.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sz w:val="22"/>
          <w:szCs w:val="22"/>
        </w:rPr>
        <w:t xml:space="preserve">Настоящий Договор вступает в силу с момента его подписания Сторонами и действует до полного исполнения Сторонами своих обязательств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 xml:space="preserve">подписан в </w:t>
      </w:r>
      <w:r>
        <w:rPr>
          <w:sz w:val="22"/>
          <w:szCs w:val="22"/>
          <w:lang w:eastAsia="ru-RU"/>
        </w:rPr>
        <w:t xml:space="preserve">двух</w:t>
      </w:r>
      <w:r>
        <w:rPr>
          <w:sz w:val="22"/>
          <w:szCs w:val="22"/>
          <w:lang w:eastAsia="ru-RU"/>
        </w:rPr>
        <w:t xml:space="preserve"> экземплярах на русском языке</w:t>
      </w:r>
      <w:r>
        <w:rPr>
          <w:sz w:val="22"/>
          <w:szCs w:val="22"/>
          <w:lang w:eastAsia="ru-RU"/>
        </w:rPr>
        <w:t xml:space="preserve">.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>
        <w:rPr>
          <w:sz w:val="22"/>
          <w:szCs w:val="22"/>
        </w:rPr>
        <w:t xml:space="preserve">Реквизиты и п</w:t>
      </w:r>
      <w:r>
        <w:rPr>
          <w:sz w:val="22"/>
          <w:szCs w:val="22"/>
        </w:rPr>
        <w:t xml:space="preserve">одписи сторон: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Исполнитель: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Областное автономное учреждение «Телерадиовещательная компания «Мир Белогорья»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 3123110859 КПП 312301001 ОГРН 1043107031318 ОКПО: 73239625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308000, РФ, Белгородская обл., г. Белгород, пр-т. Славы, 60;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тел.:+7(4722)58-44-00 secretary@tvbelgorod.ru</w:t>
      </w:r>
      <w:r>
        <w:rPr>
          <w:sz w:val="22"/>
          <w:szCs w:val="22"/>
        </w:rPr>
        <w:t xml:space="preserve"> </w:t>
      </w:r>
      <w:hyperlink r:id="rId8" w:tooltip="http://mirbelogorya.ru/" w:history="1">
        <w:r>
          <w:rPr>
            <w:sz w:val="22"/>
            <w:szCs w:val="22"/>
          </w:rPr>
          <w:t xml:space="preserve">http://mirbelogorya.ru/</w:t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 </w:t>
      </w:r>
      <w:r>
        <w:rPr>
          <w:sz w:val="22"/>
          <w:szCs w:val="22"/>
        </w:rPr>
        <w:t xml:space="preserve">                                ___________________ / 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Заказчик: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Кандидат в депутаты Белгородской областной Думы восьмого созыва, выдвинутый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  <w:tblStyle w:val="890"/>
      </w:tblPr>
      <w:tblGrid>
        <w:gridCol w:w="9854"/>
      </w:tblGrid>
      <w:tr>
        <w:trPr/>
        <w:tc>
          <w:tcPr>
            <w:tcBorders/>
            <w:tcW w:w="9854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9854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9854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9854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92"/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Телефон:  _________________ </w:t>
      </w:r>
      <w:r>
        <w:rPr>
          <w:sz w:val="22"/>
          <w:szCs w:val="22"/>
          <w:lang w:val="en-US"/>
        </w:rPr>
        <w:t xml:space="preserve">e</w:t>
      </w:r>
      <w:r>
        <w:rPr>
          <w:sz w:val="22"/>
          <w:szCs w:val="22"/>
        </w:rPr>
        <w:t xml:space="preserve">-</w:t>
      </w:r>
      <w:r>
        <w:rPr>
          <w:sz w:val="22"/>
          <w:szCs w:val="22"/>
          <w:lang w:val="en-US"/>
        </w:rPr>
        <w:t xml:space="preserve">mail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  <w:t xml:space="preserve"> 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 </w:t>
      </w:r>
      <w:r>
        <w:rPr>
          <w:sz w:val="22"/>
          <w:szCs w:val="22"/>
        </w:rPr>
        <w:t xml:space="preserve">                                ___________________ / 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h="16838" w:orient="portrait" w:w="11906"/>
      <w:pgMar w:top="567" w:right="1134" w:bottom="709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 Light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1"/>
    <w:basedOn w:val="884"/>
    <w:next w:val="884"/>
    <w:link w:val="8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7">
    <w:name w:val="Heading 2"/>
    <w:basedOn w:val="884"/>
    <w:next w:val="884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8">
    <w:name w:val="Heading 3"/>
    <w:basedOn w:val="884"/>
    <w:next w:val="884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9">
    <w:name w:val="Heading 4"/>
    <w:basedOn w:val="884"/>
    <w:next w:val="884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0">
    <w:name w:val="Heading 5"/>
    <w:basedOn w:val="884"/>
    <w:next w:val="884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1">
    <w:name w:val="Heading 6"/>
    <w:basedOn w:val="884"/>
    <w:next w:val="884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4"/>
    <w:next w:val="884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4"/>
    <w:next w:val="884"/>
    <w:link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4"/>
    <w:next w:val="884"/>
    <w:link w:val="8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>
    <w:name w:val="Heading 1 Char"/>
    <w:basedOn w:val="885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6">
    <w:name w:val="Heading 2 Char"/>
    <w:basedOn w:val="885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7">
    <w:name w:val="Heading 3 Char"/>
    <w:basedOn w:val="885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8">
    <w:name w:val="Heading 4 Char"/>
    <w:basedOn w:val="885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9">
    <w:name w:val="Heading 5 Char"/>
    <w:basedOn w:val="885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0">
    <w:name w:val="Heading 6 Char"/>
    <w:basedOn w:val="885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>
    <w:name w:val="Heading 7 Char"/>
    <w:basedOn w:val="885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>
    <w:name w:val="Heading 8 Char"/>
    <w:basedOn w:val="885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Heading 9 Char"/>
    <w:basedOn w:val="88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Title"/>
    <w:basedOn w:val="884"/>
    <w:next w:val="884"/>
    <w:link w:val="84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5">
    <w:name w:val="Title Char"/>
    <w:basedOn w:val="885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884"/>
    <w:next w:val="884"/>
    <w:link w:val="8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>
    <w:name w:val="Subtitle Char"/>
    <w:basedOn w:val="885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8">
    <w:name w:val="Quote"/>
    <w:basedOn w:val="884"/>
    <w:next w:val="884"/>
    <w:link w:val="8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9">
    <w:name w:val="Quote Char"/>
    <w:basedOn w:val="885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0">
    <w:name w:val="List Paragraph"/>
    <w:basedOn w:val="884"/>
    <w:uiPriority w:val="34"/>
    <w:qFormat/>
    <w:pPr>
      <w:pBdr/>
      <w:spacing/>
      <w:ind w:left="720"/>
      <w:contextualSpacing w:val="true"/>
    </w:pPr>
  </w:style>
  <w:style w:type="character" w:styleId="851">
    <w:name w:val="Intense Emphasis"/>
    <w:basedOn w:val="88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2">
    <w:name w:val="Intense Quote"/>
    <w:basedOn w:val="884"/>
    <w:next w:val="884"/>
    <w:link w:val="85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3">
    <w:name w:val="Intense Quote Char"/>
    <w:basedOn w:val="885"/>
    <w:link w:val="8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4">
    <w:name w:val="Intense Reference"/>
    <w:basedOn w:val="88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5">
    <w:name w:val="Subtle Emphasis"/>
    <w:basedOn w:val="88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6">
    <w:name w:val="Emphasis"/>
    <w:basedOn w:val="885"/>
    <w:uiPriority w:val="20"/>
    <w:qFormat/>
    <w:pPr>
      <w:pBdr/>
      <w:spacing/>
      <w:ind/>
    </w:pPr>
    <w:rPr>
      <w:i/>
      <w:iCs/>
    </w:rPr>
  </w:style>
  <w:style w:type="character" w:styleId="857">
    <w:name w:val="Strong"/>
    <w:basedOn w:val="885"/>
    <w:uiPriority w:val="22"/>
    <w:qFormat/>
    <w:pPr>
      <w:pBdr/>
      <w:spacing/>
      <w:ind/>
    </w:pPr>
    <w:rPr>
      <w:b/>
      <w:bCs/>
    </w:rPr>
  </w:style>
  <w:style w:type="character" w:styleId="858">
    <w:name w:val="Subtle Reference"/>
    <w:basedOn w:val="88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9">
    <w:name w:val="Book Title"/>
    <w:basedOn w:val="88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0">
    <w:name w:val="Header"/>
    <w:basedOn w:val="884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Header Char"/>
    <w:basedOn w:val="885"/>
    <w:link w:val="860"/>
    <w:uiPriority w:val="99"/>
    <w:pPr>
      <w:pBdr/>
      <w:spacing/>
      <w:ind/>
    </w:pPr>
  </w:style>
  <w:style w:type="paragraph" w:styleId="862">
    <w:name w:val="Footer"/>
    <w:basedOn w:val="884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Footer Char"/>
    <w:basedOn w:val="885"/>
    <w:link w:val="862"/>
    <w:uiPriority w:val="99"/>
    <w:pPr>
      <w:pBdr/>
      <w:spacing/>
      <w:ind/>
    </w:pPr>
  </w:style>
  <w:style w:type="paragraph" w:styleId="864">
    <w:name w:val="Caption"/>
    <w:basedOn w:val="884"/>
    <w:next w:val="88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5">
    <w:name w:val="footnote text"/>
    <w:basedOn w:val="884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Footnote Text Char"/>
    <w:basedOn w:val="885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footnote reference"/>
    <w:basedOn w:val="885"/>
    <w:uiPriority w:val="99"/>
    <w:semiHidden/>
    <w:unhideWhenUsed/>
    <w:pPr>
      <w:pBdr/>
      <w:spacing/>
      <w:ind/>
    </w:pPr>
    <w:rPr>
      <w:vertAlign w:val="superscript"/>
    </w:rPr>
  </w:style>
  <w:style w:type="paragraph" w:styleId="868">
    <w:name w:val="endnote text"/>
    <w:basedOn w:val="884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Endnote Text Char"/>
    <w:basedOn w:val="885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endnote reference"/>
    <w:basedOn w:val="885"/>
    <w:uiPriority w:val="99"/>
    <w:semiHidden/>
    <w:unhideWhenUsed/>
    <w:pPr>
      <w:pBdr/>
      <w:spacing/>
      <w:ind/>
    </w:pPr>
    <w:rPr>
      <w:vertAlign w:val="superscript"/>
    </w:rPr>
  </w:style>
  <w:style w:type="character" w:styleId="871">
    <w:name w:val="FollowedHyperlink"/>
    <w:basedOn w:val="88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2">
    <w:name w:val="toc 1"/>
    <w:basedOn w:val="884"/>
    <w:next w:val="884"/>
    <w:uiPriority w:val="39"/>
    <w:unhideWhenUsed/>
    <w:pPr>
      <w:pBdr/>
      <w:spacing w:after="100"/>
      <w:ind/>
    </w:pPr>
  </w:style>
  <w:style w:type="paragraph" w:styleId="873">
    <w:name w:val="toc 2"/>
    <w:basedOn w:val="884"/>
    <w:next w:val="884"/>
    <w:uiPriority w:val="39"/>
    <w:unhideWhenUsed/>
    <w:pPr>
      <w:pBdr/>
      <w:spacing w:after="100"/>
      <w:ind w:left="220"/>
    </w:pPr>
  </w:style>
  <w:style w:type="paragraph" w:styleId="874">
    <w:name w:val="toc 3"/>
    <w:basedOn w:val="884"/>
    <w:next w:val="884"/>
    <w:uiPriority w:val="39"/>
    <w:unhideWhenUsed/>
    <w:pPr>
      <w:pBdr/>
      <w:spacing w:after="100"/>
      <w:ind w:left="440"/>
    </w:pPr>
  </w:style>
  <w:style w:type="paragraph" w:styleId="875">
    <w:name w:val="toc 4"/>
    <w:basedOn w:val="884"/>
    <w:next w:val="884"/>
    <w:uiPriority w:val="39"/>
    <w:unhideWhenUsed/>
    <w:pPr>
      <w:pBdr/>
      <w:spacing w:after="100"/>
      <w:ind w:left="660"/>
    </w:pPr>
  </w:style>
  <w:style w:type="paragraph" w:styleId="876">
    <w:name w:val="toc 5"/>
    <w:basedOn w:val="884"/>
    <w:next w:val="884"/>
    <w:uiPriority w:val="39"/>
    <w:unhideWhenUsed/>
    <w:pPr>
      <w:pBdr/>
      <w:spacing w:after="100"/>
      <w:ind w:left="880"/>
    </w:pPr>
  </w:style>
  <w:style w:type="paragraph" w:styleId="877">
    <w:name w:val="toc 6"/>
    <w:basedOn w:val="884"/>
    <w:next w:val="884"/>
    <w:uiPriority w:val="39"/>
    <w:unhideWhenUsed/>
    <w:pPr>
      <w:pBdr/>
      <w:spacing w:after="100"/>
      <w:ind w:left="1100"/>
    </w:pPr>
  </w:style>
  <w:style w:type="paragraph" w:styleId="878">
    <w:name w:val="toc 7"/>
    <w:basedOn w:val="884"/>
    <w:next w:val="884"/>
    <w:uiPriority w:val="39"/>
    <w:unhideWhenUsed/>
    <w:pPr>
      <w:pBdr/>
      <w:spacing w:after="100"/>
      <w:ind w:left="1320"/>
    </w:pPr>
  </w:style>
  <w:style w:type="paragraph" w:styleId="879">
    <w:name w:val="toc 8"/>
    <w:basedOn w:val="884"/>
    <w:next w:val="884"/>
    <w:uiPriority w:val="39"/>
    <w:unhideWhenUsed/>
    <w:pPr>
      <w:pBdr/>
      <w:spacing w:after="100"/>
      <w:ind w:left="1540"/>
    </w:pPr>
  </w:style>
  <w:style w:type="paragraph" w:styleId="880">
    <w:name w:val="toc 9"/>
    <w:basedOn w:val="884"/>
    <w:next w:val="884"/>
    <w:uiPriority w:val="39"/>
    <w:unhideWhenUsed/>
    <w:pPr>
      <w:pBdr/>
      <w:spacing w:after="100"/>
      <w:ind w:left="1760"/>
    </w:pPr>
  </w:style>
  <w:style w:type="character" w:styleId="881">
    <w:name w:val="Placeholder Text"/>
    <w:basedOn w:val="885"/>
    <w:uiPriority w:val="99"/>
    <w:semiHidden/>
    <w:pPr>
      <w:pBdr/>
      <w:spacing/>
      <w:ind/>
    </w:pPr>
    <w:rPr>
      <w:color w:val="666666"/>
    </w:rPr>
  </w:style>
  <w:style w:type="paragraph" w:styleId="882">
    <w:name w:val="TOC Heading"/>
    <w:uiPriority w:val="39"/>
    <w:unhideWhenUsed/>
    <w:pPr>
      <w:pBdr/>
      <w:spacing/>
      <w:ind/>
    </w:pPr>
  </w:style>
  <w:style w:type="paragraph" w:styleId="883">
    <w:name w:val="table of figures"/>
    <w:basedOn w:val="884"/>
    <w:next w:val="884"/>
    <w:uiPriority w:val="99"/>
    <w:unhideWhenUsed/>
    <w:pPr>
      <w:pBdr/>
      <w:spacing w:after="0" w:afterAutospacing="0"/>
      <w:ind/>
    </w:pPr>
  </w:style>
  <w:style w:type="paragraph" w:styleId="884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5" w:default="1">
    <w:name w:val="Default Paragraph Font"/>
    <w:uiPriority w:val="1"/>
    <w:semiHidden/>
    <w:unhideWhenUsed/>
    <w:pPr>
      <w:pBdr/>
      <w:spacing/>
      <w:ind/>
    </w:pPr>
  </w:style>
  <w:style w:type="table" w:styleId="88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7" w:default="1">
    <w:name w:val="No List"/>
    <w:uiPriority w:val="99"/>
    <w:semiHidden/>
    <w:unhideWhenUsed/>
    <w:pPr>
      <w:pBdr/>
      <w:spacing/>
      <w:ind/>
    </w:pPr>
  </w:style>
  <w:style w:type="paragraph" w:styleId="888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/>
      <w:sz w:val="24"/>
    </w:rPr>
  </w:style>
  <w:style w:type="paragraph" w:styleId="889" w:customStyle="1">
    <w:name w:val="ConsPlusNonformat"/>
    <w:uiPriority w:val="99"/>
    <w:pPr>
      <w:widowControl w:val="false"/>
      <w:pBdr/>
      <w:spacing w:after="0" w:line="240" w:lineRule="auto"/>
      <w:ind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890">
    <w:name w:val="Table Grid"/>
    <w:basedOn w:val="88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 w:customStyle="1">
    <w:name w:val="Основной шрифт абзаца1"/>
    <w:pPr>
      <w:pBdr/>
      <w:spacing/>
      <w:ind/>
    </w:pPr>
  </w:style>
  <w:style w:type="paragraph" w:styleId="892" w:customStyle="1">
    <w:name w:val="ConsPlusNormal"/>
    <w:pPr>
      <w:widowControl w:val="false"/>
      <w:pBdr/>
      <w:spacing w:after="0" w:line="240" w:lineRule="auto"/>
      <w:ind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893">
    <w:name w:val="Hyperlink"/>
    <w:basedOn w:val="885"/>
    <w:uiPriority w:val="99"/>
    <w:unhideWhenUsed/>
    <w:pPr>
      <w:pBdr/>
      <w:spacing/>
      <w:ind/>
    </w:pPr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mirbelogorya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Мирошников</dc:creator>
  <cp:revision>6</cp:revision>
  <dcterms:created xsi:type="dcterms:W3CDTF">2020-08-13T06:37:00Z</dcterms:created>
  <dcterms:modified xsi:type="dcterms:W3CDTF">2025-08-13T13:28:24Z</dcterms:modified>
</cp:coreProperties>
</file>